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90"/>
        <w:rPr>
          <w:rFonts w:ascii="仿宋_GB2312" w:eastAsia="仿宋_GB2312"/>
          <w:b w:val="0"/>
          <w:bCs w:val="0"/>
          <w:color w:val="auto"/>
          <w:sz w:val="32"/>
          <w:szCs w:val="32"/>
        </w:rPr>
      </w:pPr>
      <w:r>
        <w:rPr>
          <w:rFonts w:hint="eastAsia" w:ascii="仿宋_GB2312" w:eastAsia="仿宋_GB2312"/>
          <w:b w:val="0"/>
          <w:bCs w:val="0"/>
          <w:color w:val="auto"/>
          <w:sz w:val="32"/>
          <w:szCs w:val="32"/>
        </w:rPr>
        <w:t>附件</w:t>
      </w:r>
      <w:r>
        <w:rPr>
          <w:rFonts w:ascii="仿宋_GB2312" w:eastAsia="仿宋_GB2312"/>
          <w:b w:val="0"/>
          <w:bCs w:val="0"/>
          <w:color w:val="auto"/>
          <w:sz w:val="32"/>
          <w:szCs w:val="32"/>
        </w:rPr>
        <w:t>4</w:t>
      </w:r>
      <w:r>
        <w:rPr>
          <w:rFonts w:hint="eastAsia" w:ascii="仿宋_GB2312" w:eastAsia="仿宋_GB2312"/>
          <w:b w:val="0"/>
          <w:bCs w:val="0"/>
          <w:color w:val="auto"/>
          <w:sz w:val="32"/>
          <w:szCs w:val="32"/>
        </w:rPr>
        <w:t>：</w:t>
      </w:r>
    </w:p>
    <w:p>
      <w:pPr>
        <w:jc w:val="center"/>
        <w:rPr>
          <w:rFonts w:hint="eastAsia" w:ascii="宋体" w:hAnsi="宋体" w:cs="宋体"/>
          <w:b/>
          <w:bCs/>
          <w:color w:val="auto"/>
          <w:kern w:val="0"/>
          <w:sz w:val="36"/>
          <w:szCs w:val="36"/>
          <w:lang w:val="zh-CN" w:eastAsia="zh-CN" w:bidi="ar-SA"/>
        </w:rPr>
      </w:pPr>
      <w:r>
        <w:rPr>
          <w:rFonts w:hint="eastAsia" w:ascii="宋体" w:hAnsi="宋体" w:cs="宋体"/>
          <w:b/>
          <w:bCs/>
          <w:color w:val="auto"/>
          <w:kern w:val="0"/>
          <w:sz w:val="36"/>
          <w:szCs w:val="36"/>
          <w:lang w:val="zh-CN" w:eastAsia="zh-CN" w:bidi="ar-SA"/>
        </w:rPr>
        <w:t>吉林省建筑业协会工程造价专委会</w:t>
      </w:r>
    </w:p>
    <w:p>
      <w:pPr>
        <w:jc w:val="center"/>
        <w:rPr>
          <w:rFonts w:hint="eastAsia" w:ascii="宋体" w:hAnsi="宋体" w:cs="宋体"/>
          <w:b/>
          <w:bCs/>
          <w:color w:val="auto"/>
          <w:kern w:val="0"/>
          <w:sz w:val="36"/>
          <w:szCs w:val="36"/>
          <w:lang w:val="zh-CN" w:eastAsia="zh-CN" w:bidi="ar-SA"/>
        </w:rPr>
      </w:pPr>
      <w:r>
        <w:rPr>
          <w:rFonts w:hint="eastAsia" w:ascii="宋体" w:hAnsi="宋体" w:cs="宋体"/>
          <w:b/>
          <w:bCs/>
          <w:color w:val="auto"/>
          <w:kern w:val="0"/>
          <w:sz w:val="36"/>
          <w:szCs w:val="36"/>
          <w:lang w:val="zh-CN" w:eastAsia="zh-CN" w:bidi="ar-SA"/>
        </w:rPr>
        <w:t>优秀造价师评分标准</w:t>
      </w:r>
    </w:p>
    <w:p>
      <w:pPr>
        <w:spacing w:before="4" w:after="1"/>
        <w:rPr>
          <w:color w:val="auto"/>
          <w:sz w:val="10"/>
        </w:rPr>
      </w:pPr>
    </w:p>
    <w:tbl>
      <w:tblPr>
        <w:tblStyle w:val="5"/>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097"/>
        <w:gridCol w:w="850"/>
        <w:gridCol w:w="5955"/>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14" w:line="400" w:lineRule="atLeast"/>
              <w:ind w:left="129" w:right="117"/>
              <w:rPr>
                <w:rFonts w:ascii="仿宋" w:eastAsia="仿宋"/>
                <w:b/>
                <w:color w:val="auto"/>
                <w:sz w:val="28"/>
              </w:rPr>
            </w:pPr>
            <w:r>
              <w:rPr>
                <w:rFonts w:hint="eastAsia" w:ascii="仿宋" w:eastAsia="仿宋"/>
                <w:b/>
                <w:color w:val="auto"/>
                <w:sz w:val="28"/>
              </w:rPr>
              <w:t>序号</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14" w:line="400" w:lineRule="atLeast"/>
              <w:ind w:left="266" w:right="257"/>
              <w:rPr>
                <w:rFonts w:ascii="仿宋" w:eastAsia="仿宋"/>
                <w:b/>
                <w:color w:val="auto"/>
                <w:sz w:val="28"/>
              </w:rPr>
            </w:pPr>
            <w:r>
              <w:rPr>
                <w:rFonts w:hint="eastAsia" w:ascii="仿宋" w:eastAsia="仿宋"/>
                <w:b/>
                <w:color w:val="auto"/>
                <w:sz w:val="28"/>
              </w:rPr>
              <w:t>评分项目</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14" w:line="400" w:lineRule="atLeast"/>
              <w:ind w:left="143" w:right="132"/>
              <w:rPr>
                <w:rFonts w:ascii="仿宋" w:eastAsia="仿宋"/>
                <w:b/>
                <w:color w:val="auto"/>
                <w:sz w:val="28"/>
              </w:rPr>
            </w:pPr>
            <w:r>
              <w:rPr>
                <w:rFonts w:hint="eastAsia" w:ascii="仿宋" w:eastAsia="仿宋"/>
                <w:b/>
                <w:color w:val="auto"/>
                <w:sz w:val="28"/>
              </w:rPr>
              <w:t>指标分值</w:t>
            </w:r>
          </w:p>
        </w:tc>
        <w:tc>
          <w:tcPr>
            <w:tcW w:w="5955"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1"/>
              <w:rPr>
                <w:color w:val="auto"/>
                <w:sz w:val="20"/>
              </w:rPr>
            </w:pPr>
          </w:p>
          <w:p>
            <w:pPr>
              <w:pStyle w:val="9"/>
              <w:ind w:left="2392" w:right="2388"/>
              <w:jc w:val="center"/>
              <w:rPr>
                <w:rFonts w:ascii="仿宋" w:eastAsia="仿宋"/>
                <w:b/>
                <w:color w:val="auto"/>
                <w:sz w:val="28"/>
              </w:rPr>
            </w:pPr>
            <w:r>
              <w:rPr>
                <w:rFonts w:hint="eastAsia" w:ascii="仿宋" w:eastAsia="仿宋"/>
                <w:b/>
                <w:color w:val="auto"/>
                <w:sz w:val="28"/>
              </w:rPr>
              <w:t>评分细则</w:t>
            </w:r>
          </w:p>
        </w:tc>
        <w:tc>
          <w:tcPr>
            <w:tcW w:w="618"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14" w:line="400" w:lineRule="atLeast"/>
              <w:ind w:left="213" w:right="201"/>
              <w:rPr>
                <w:rFonts w:ascii="仿宋" w:eastAsia="仿宋"/>
                <w:b/>
                <w:color w:val="auto"/>
                <w:sz w:val="28"/>
              </w:rPr>
            </w:pPr>
            <w:r>
              <w:rPr>
                <w:rFonts w:hint="eastAsia" w:ascii="仿宋" w:eastAsia="仿宋"/>
                <w:b/>
                <w:color w:val="auto"/>
                <w:sz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8"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8"/>
              <w:rPr>
                <w:color w:val="auto"/>
                <w:sz w:val="27"/>
              </w:rPr>
            </w:pPr>
          </w:p>
          <w:p>
            <w:pPr>
              <w:pStyle w:val="9"/>
              <w:spacing w:before="1"/>
              <w:ind w:right="206"/>
              <w:jc w:val="right"/>
              <w:rPr>
                <w:b/>
                <w:color w:val="auto"/>
                <w:sz w:val="21"/>
              </w:rPr>
            </w:pPr>
            <w:r>
              <w:rPr>
                <w:b/>
                <w:color w:val="auto"/>
                <w:w w:val="99"/>
                <w:sz w:val="21"/>
              </w:rPr>
              <w:t>1</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8"/>
              <w:rPr>
                <w:color w:val="auto"/>
                <w:sz w:val="27"/>
              </w:rPr>
            </w:pPr>
          </w:p>
          <w:p>
            <w:pPr>
              <w:pStyle w:val="9"/>
              <w:spacing w:before="1"/>
              <w:ind w:left="107" w:right="96"/>
              <w:jc w:val="center"/>
              <w:rPr>
                <w:b/>
                <w:color w:val="auto"/>
                <w:sz w:val="21"/>
              </w:rPr>
            </w:pPr>
            <w:r>
              <w:rPr>
                <w:rFonts w:hint="eastAsia"/>
                <w:b/>
                <w:color w:val="auto"/>
                <w:sz w:val="21"/>
              </w:rPr>
              <w:t>基本条件</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6"/>
              <w:rPr>
                <w:color w:val="auto"/>
                <w:sz w:val="15"/>
              </w:rPr>
            </w:pPr>
          </w:p>
          <w:p>
            <w:pPr>
              <w:pStyle w:val="9"/>
              <w:spacing w:line="278" w:lineRule="auto"/>
              <w:ind w:left="213" w:right="96" w:hanging="106"/>
              <w:rPr>
                <w:b/>
                <w:color w:val="auto"/>
                <w:sz w:val="21"/>
              </w:rPr>
            </w:pPr>
            <w:r>
              <w:rPr>
                <w:rFonts w:hint="eastAsia"/>
                <w:b/>
                <w:color w:val="auto"/>
                <w:sz w:val="21"/>
              </w:rPr>
              <w:t>一票否决项</w:t>
            </w:r>
          </w:p>
        </w:tc>
        <w:tc>
          <w:tcPr>
            <w:tcW w:w="5955"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1"/>
              <w:rPr>
                <w:color w:val="auto"/>
                <w:sz w:val="18"/>
              </w:rPr>
            </w:pPr>
          </w:p>
          <w:p>
            <w:pPr>
              <w:pStyle w:val="9"/>
              <w:spacing w:line="278" w:lineRule="auto"/>
              <w:ind w:left="107" w:right="96"/>
              <w:rPr>
                <w:rFonts w:hint="eastAsia"/>
                <w:color w:val="auto"/>
                <w:spacing w:val="-8"/>
                <w:sz w:val="21"/>
              </w:rPr>
            </w:pPr>
            <w:r>
              <w:rPr>
                <w:rFonts w:hint="eastAsia"/>
                <w:color w:val="auto"/>
                <w:spacing w:val="-8"/>
                <w:sz w:val="21"/>
              </w:rPr>
              <w:t>1、 个人未考取造价工程师执业资格、非</w:t>
            </w:r>
            <w:r>
              <w:rPr>
                <w:rFonts w:hint="eastAsia"/>
                <w:color w:val="auto"/>
                <w:spacing w:val="-8"/>
                <w:sz w:val="21"/>
                <w:lang w:eastAsia="zh-CN"/>
              </w:rPr>
              <w:t>省建协工程造价专委会</w:t>
            </w:r>
            <w:r>
              <w:rPr>
                <w:rFonts w:hint="eastAsia"/>
                <w:color w:val="auto"/>
                <w:spacing w:val="-8"/>
                <w:sz w:val="21"/>
              </w:rPr>
              <w:t>个人会员或不按时缴纳会费。</w:t>
            </w:r>
          </w:p>
          <w:p>
            <w:pPr>
              <w:pStyle w:val="9"/>
              <w:spacing w:line="278" w:lineRule="auto"/>
              <w:ind w:left="107" w:right="96"/>
              <w:rPr>
                <w:rFonts w:hint="eastAsia"/>
                <w:color w:val="auto"/>
                <w:spacing w:val="-8"/>
                <w:sz w:val="21"/>
              </w:rPr>
            </w:pPr>
            <w:r>
              <w:rPr>
                <w:rFonts w:hint="eastAsia"/>
                <w:color w:val="auto"/>
                <w:spacing w:val="-8"/>
                <w:sz w:val="21"/>
              </w:rPr>
              <w:t>2、 个人不遵守国家法律、法规，不遵守市场行为规范，不坚持公平竞争，不维护行业信誉，不注重职业道德建设，不抵制商业贿赂；在本地区或本行业声誉不佳；近三年来个人被建设行政主管部门或其他行业主管部门通报处分或列入“黑名单”的。</w:t>
            </w:r>
          </w:p>
          <w:p>
            <w:pPr>
              <w:pStyle w:val="9"/>
              <w:spacing w:line="278" w:lineRule="auto"/>
              <w:ind w:left="107" w:right="96"/>
              <w:rPr>
                <w:rFonts w:hint="eastAsia"/>
                <w:color w:val="auto"/>
                <w:spacing w:val="-8"/>
                <w:sz w:val="21"/>
              </w:rPr>
            </w:pPr>
            <w:r>
              <w:rPr>
                <w:rFonts w:hint="eastAsia"/>
                <w:color w:val="auto"/>
                <w:spacing w:val="-8"/>
                <w:sz w:val="21"/>
              </w:rPr>
              <w:t>3、 近三年来个人执业的工程造价业务受到地市级（含） 以上建设行政主管部门或其他行业主管部门通报并处分。</w:t>
            </w:r>
          </w:p>
          <w:p>
            <w:pPr>
              <w:pStyle w:val="9"/>
              <w:spacing w:line="278" w:lineRule="auto"/>
              <w:ind w:left="107" w:right="96"/>
              <w:rPr>
                <w:color w:val="auto"/>
                <w:sz w:val="21"/>
              </w:rPr>
            </w:pPr>
            <w:r>
              <w:rPr>
                <w:rFonts w:hint="eastAsia"/>
                <w:color w:val="auto"/>
                <w:spacing w:val="-8"/>
                <w:sz w:val="21"/>
              </w:rPr>
              <w:t>备注：符合上述三项其中任意一项的，不得参加评选。</w:t>
            </w:r>
          </w:p>
        </w:tc>
        <w:tc>
          <w:tcPr>
            <w:tcW w:w="618"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0"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3"/>
              <w:rPr>
                <w:color w:val="auto"/>
                <w:sz w:val="20"/>
              </w:rPr>
            </w:pPr>
          </w:p>
          <w:p>
            <w:pPr>
              <w:pStyle w:val="9"/>
              <w:ind w:left="107"/>
              <w:rPr>
                <w:b/>
                <w:color w:val="auto"/>
                <w:sz w:val="21"/>
              </w:rPr>
            </w:pPr>
            <w:r>
              <w:rPr>
                <w:b/>
                <w:color w:val="auto"/>
                <w:w w:val="99"/>
                <w:sz w:val="21"/>
              </w:rPr>
              <w:t>2</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3"/>
              <w:rPr>
                <w:color w:val="auto"/>
                <w:sz w:val="20"/>
              </w:rPr>
            </w:pPr>
          </w:p>
          <w:p>
            <w:pPr>
              <w:pStyle w:val="9"/>
              <w:ind w:left="107" w:right="96"/>
              <w:jc w:val="center"/>
              <w:rPr>
                <w:b/>
                <w:color w:val="auto"/>
                <w:sz w:val="21"/>
              </w:rPr>
            </w:pPr>
            <w:r>
              <w:rPr>
                <w:rFonts w:hint="eastAsia"/>
                <w:b/>
                <w:color w:val="auto"/>
                <w:sz w:val="21"/>
              </w:rPr>
              <w:t>综合素质</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3"/>
              <w:rPr>
                <w:color w:val="auto"/>
                <w:sz w:val="20"/>
              </w:rPr>
            </w:pPr>
          </w:p>
          <w:p>
            <w:pPr>
              <w:pStyle w:val="9"/>
              <w:ind w:left="113" w:right="105"/>
              <w:jc w:val="center"/>
              <w:rPr>
                <w:b/>
                <w:color w:val="auto"/>
                <w:sz w:val="21"/>
              </w:rPr>
            </w:pPr>
            <w:r>
              <w:rPr>
                <w:b/>
                <w:color w:val="auto"/>
                <w:sz w:val="21"/>
              </w:rPr>
              <w:t>20</w:t>
            </w:r>
          </w:p>
        </w:tc>
        <w:tc>
          <w:tcPr>
            <w:tcW w:w="5955" w:type="dxa"/>
            <w:tcBorders>
              <w:top w:val="single" w:color="000000" w:sz="4" w:space="0"/>
              <w:left w:val="single" w:color="000000" w:sz="4" w:space="0"/>
              <w:bottom w:val="single" w:color="000000" w:sz="4" w:space="0"/>
              <w:right w:val="single" w:color="000000" w:sz="4" w:space="0"/>
            </w:tcBorders>
            <w:noWrap w:val="0"/>
            <w:vAlign w:val="top"/>
          </w:tcPr>
          <w:p>
            <w:pPr>
              <w:pStyle w:val="9"/>
              <w:spacing w:line="278" w:lineRule="auto"/>
              <w:ind w:left="107" w:right="96"/>
              <w:rPr>
                <w:rFonts w:hint="eastAsia"/>
                <w:color w:val="auto"/>
                <w:spacing w:val="-8"/>
                <w:sz w:val="21"/>
              </w:rPr>
            </w:pPr>
            <w:r>
              <w:rPr>
                <w:rFonts w:hint="eastAsia"/>
                <w:color w:val="auto"/>
                <w:spacing w:val="-8"/>
                <w:sz w:val="21"/>
              </w:rPr>
              <w:t>1、遵纪守法，严格执行行业有关技术规范、规程和标准，得 2 分。</w:t>
            </w:r>
          </w:p>
          <w:p>
            <w:pPr>
              <w:pStyle w:val="9"/>
              <w:spacing w:line="278" w:lineRule="auto"/>
              <w:ind w:left="107" w:right="96"/>
              <w:rPr>
                <w:rFonts w:hint="eastAsia"/>
                <w:color w:val="auto"/>
                <w:spacing w:val="-8"/>
                <w:sz w:val="21"/>
              </w:rPr>
            </w:pPr>
            <w:r>
              <w:rPr>
                <w:rFonts w:hint="eastAsia"/>
                <w:color w:val="auto"/>
                <w:spacing w:val="-8"/>
                <w:sz w:val="21"/>
              </w:rPr>
              <w:t>2、恪守职业道德，公正廉洁，诚实守信，社会信誉好，自觉抵制腐败行为，无不良行为记录，得 3 分。</w:t>
            </w:r>
          </w:p>
          <w:p>
            <w:pPr>
              <w:pStyle w:val="9"/>
              <w:spacing w:line="278" w:lineRule="auto"/>
              <w:ind w:left="107" w:right="96"/>
              <w:rPr>
                <w:rFonts w:hint="eastAsia"/>
                <w:color w:val="auto"/>
                <w:spacing w:val="-8"/>
                <w:sz w:val="21"/>
              </w:rPr>
            </w:pPr>
            <w:r>
              <w:rPr>
                <w:rFonts w:hint="eastAsia"/>
                <w:color w:val="auto"/>
                <w:spacing w:val="-8"/>
                <w:sz w:val="21"/>
              </w:rPr>
              <w:t>3、爱岗敬业，具有较强的组织、协调和管理能力，得 3 分。</w:t>
            </w:r>
          </w:p>
          <w:p>
            <w:pPr>
              <w:pStyle w:val="9"/>
              <w:spacing w:line="278" w:lineRule="auto"/>
              <w:ind w:left="107" w:right="96"/>
              <w:rPr>
                <w:rFonts w:hint="eastAsia"/>
                <w:color w:val="auto"/>
                <w:spacing w:val="-8"/>
                <w:sz w:val="21"/>
              </w:rPr>
            </w:pPr>
            <w:r>
              <w:rPr>
                <w:rFonts w:hint="eastAsia"/>
                <w:color w:val="auto"/>
                <w:spacing w:val="-8"/>
                <w:sz w:val="21"/>
              </w:rPr>
              <w:t>4、热爱造价事业，热心为委托方服务，得 2 分。</w:t>
            </w:r>
          </w:p>
          <w:p>
            <w:pPr>
              <w:pStyle w:val="9"/>
              <w:spacing w:line="278" w:lineRule="auto"/>
              <w:ind w:left="107" w:right="96"/>
              <w:rPr>
                <w:rFonts w:hint="eastAsia"/>
                <w:color w:val="auto"/>
                <w:spacing w:val="-8"/>
                <w:sz w:val="21"/>
              </w:rPr>
            </w:pPr>
            <w:r>
              <w:rPr>
                <w:rFonts w:hint="eastAsia"/>
                <w:color w:val="auto"/>
                <w:spacing w:val="-8"/>
                <w:sz w:val="21"/>
              </w:rPr>
              <w:t>5、获得工程或工程经济类研究生学位及以上学位的，得 5 分；</w:t>
            </w:r>
          </w:p>
          <w:p>
            <w:pPr>
              <w:pStyle w:val="9"/>
              <w:spacing w:line="278" w:lineRule="auto"/>
              <w:ind w:left="107" w:right="96"/>
              <w:rPr>
                <w:rFonts w:hint="eastAsia"/>
                <w:color w:val="auto"/>
                <w:spacing w:val="-8"/>
                <w:sz w:val="21"/>
              </w:rPr>
            </w:pPr>
            <w:r>
              <w:rPr>
                <w:rFonts w:hint="eastAsia"/>
                <w:color w:val="auto"/>
                <w:spacing w:val="-8"/>
                <w:sz w:val="21"/>
              </w:rPr>
              <w:t>工程造价、工程或工程经济类本科毕业的，得 4 分；工程造价、</w:t>
            </w:r>
          </w:p>
          <w:p>
            <w:pPr>
              <w:pStyle w:val="9"/>
              <w:spacing w:line="278" w:lineRule="auto"/>
              <w:ind w:left="107" w:right="96"/>
              <w:rPr>
                <w:rFonts w:hint="eastAsia"/>
                <w:color w:val="auto"/>
                <w:spacing w:val="-8"/>
                <w:sz w:val="21"/>
              </w:rPr>
            </w:pPr>
            <w:r>
              <w:rPr>
                <w:rFonts w:hint="eastAsia"/>
                <w:color w:val="auto"/>
                <w:spacing w:val="-8"/>
                <w:sz w:val="21"/>
              </w:rPr>
              <w:t>工程或工程经济类大专毕业的，得 3  分；工程造价、工程或工</w:t>
            </w:r>
          </w:p>
          <w:p>
            <w:pPr>
              <w:pStyle w:val="9"/>
              <w:spacing w:line="278" w:lineRule="auto"/>
              <w:ind w:left="107" w:right="96"/>
              <w:rPr>
                <w:rFonts w:hint="eastAsia"/>
                <w:color w:val="auto"/>
                <w:spacing w:val="-8"/>
                <w:sz w:val="21"/>
              </w:rPr>
            </w:pPr>
            <w:r>
              <w:rPr>
                <w:rFonts w:hint="eastAsia"/>
                <w:color w:val="auto"/>
                <w:spacing w:val="-8"/>
                <w:sz w:val="21"/>
              </w:rPr>
              <w:t>程经济类中专毕业，以及非工程或工程经济类毕业，得 2 分， 其他不得分。</w:t>
            </w:r>
            <w:bookmarkStart w:id="0" w:name="_GoBack"/>
            <w:bookmarkEnd w:id="0"/>
          </w:p>
          <w:p>
            <w:pPr>
              <w:pStyle w:val="9"/>
              <w:spacing w:line="278" w:lineRule="auto"/>
              <w:ind w:left="107" w:right="96"/>
              <w:rPr>
                <w:rFonts w:hint="eastAsia"/>
                <w:color w:val="auto"/>
                <w:spacing w:val="-8"/>
                <w:sz w:val="21"/>
              </w:rPr>
            </w:pPr>
            <w:r>
              <w:rPr>
                <w:rFonts w:hint="eastAsia"/>
                <w:color w:val="auto"/>
                <w:spacing w:val="-8"/>
                <w:sz w:val="21"/>
              </w:rPr>
              <w:t>6、担任技术负责人的，得 5 分；担任技术部门经理的，得 4 分；</w:t>
            </w:r>
          </w:p>
          <w:p>
            <w:pPr>
              <w:pStyle w:val="9"/>
              <w:spacing w:line="278" w:lineRule="auto"/>
              <w:ind w:left="107" w:right="96"/>
              <w:rPr>
                <w:color w:val="auto"/>
                <w:sz w:val="21"/>
              </w:rPr>
            </w:pPr>
            <w:r>
              <w:rPr>
                <w:rFonts w:hint="eastAsia"/>
                <w:color w:val="auto"/>
                <w:spacing w:val="-8"/>
                <w:sz w:val="21"/>
              </w:rPr>
              <w:t>担任项目负责人的 3 分；担任专业造价工程师的，得 2 分，其余不得分。</w:t>
            </w:r>
          </w:p>
        </w:tc>
        <w:tc>
          <w:tcPr>
            <w:tcW w:w="618"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spacing w:before="8"/>
              <w:rPr>
                <w:color w:val="auto"/>
                <w:sz w:val="18"/>
              </w:rPr>
            </w:pPr>
          </w:p>
          <w:p>
            <w:pPr>
              <w:pStyle w:val="9"/>
              <w:spacing w:before="1"/>
              <w:ind w:right="205"/>
              <w:jc w:val="right"/>
              <w:rPr>
                <w:rFonts w:ascii="Calibri"/>
                <w:b/>
                <w:color w:val="auto"/>
                <w:sz w:val="21"/>
              </w:rPr>
            </w:pPr>
            <w:r>
              <w:rPr>
                <w:rFonts w:ascii="Calibri"/>
                <w:b/>
                <w:color w:val="auto"/>
                <w:sz w:val="21"/>
              </w:rPr>
              <w:t>3</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spacing w:before="3"/>
              <w:rPr>
                <w:color w:val="auto"/>
                <w:sz w:val="18"/>
              </w:rPr>
            </w:pPr>
          </w:p>
          <w:p>
            <w:pPr>
              <w:pStyle w:val="9"/>
              <w:ind w:left="107" w:right="96"/>
              <w:jc w:val="center"/>
              <w:rPr>
                <w:b/>
                <w:color w:val="auto"/>
                <w:sz w:val="21"/>
              </w:rPr>
            </w:pPr>
            <w:r>
              <w:rPr>
                <w:rFonts w:hint="eastAsia"/>
                <w:b/>
                <w:color w:val="auto"/>
                <w:sz w:val="21"/>
              </w:rPr>
              <w:t>从业资格</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spacing w:before="8"/>
              <w:rPr>
                <w:color w:val="auto"/>
                <w:sz w:val="18"/>
              </w:rPr>
            </w:pPr>
          </w:p>
          <w:p>
            <w:pPr>
              <w:pStyle w:val="9"/>
              <w:spacing w:before="1"/>
              <w:ind w:left="116" w:right="103"/>
              <w:jc w:val="center"/>
              <w:rPr>
                <w:rFonts w:ascii="Calibri"/>
                <w:b/>
                <w:color w:val="auto"/>
                <w:sz w:val="21"/>
              </w:rPr>
            </w:pPr>
            <w:r>
              <w:rPr>
                <w:rFonts w:ascii="Calibri"/>
                <w:b/>
                <w:color w:val="auto"/>
                <w:sz w:val="21"/>
              </w:rPr>
              <w:t>15</w:t>
            </w:r>
          </w:p>
        </w:tc>
        <w:tc>
          <w:tcPr>
            <w:tcW w:w="5955" w:type="dxa"/>
            <w:tcBorders>
              <w:top w:val="single" w:color="000000" w:sz="4" w:space="0"/>
              <w:left w:val="single" w:color="000000" w:sz="4" w:space="0"/>
              <w:bottom w:val="single" w:color="000000" w:sz="4" w:space="0"/>
              <w:right w:val="single" w:color="000000" w:sz="4" w:space="0"/>
            </w:tcBorders>
            <w:noWrap w:val="0"/>
            <w:vAlign w:val="top"/>
          </w:tcPr>
          <w:p>
            <w:pPr>
              <w:pStyle w:val="9"/>
              <w:spacing w:line="278" w:lineRule="auto"/>
              <w:ind w:left="107" w:right="96"/>
              <w:rPr>
                <w:rFonts w:hint="eastAsia"/>
                <w:color w:val="auto"/>
                <w:spacing w:val="-8"/>
                <w:sz w:val="21"/>
              </w:rPr>
            </w:pPr>
            <w:r>
              <w:rPr>
                <w:rFonts w:hint="eastAsia"/>
                <w:color w:val="auto"/>
                <w:spacing w:val="-8"/>
                <w:sz w:val="21"/>
              </w:rPr>
              <w:t>1、中价协资深会员得 7 分，</w:t>
            </w:r>
            <w:r>
              <w:rPr>
                <w:rFonts w:hint="eastAsia"/>
                <w:color w:val="auto"/>
                <w:spacing w:val="-8"/>
                <w:sz w:val="21"/>
                <w:lang w:eastAsia="zh-CN"/>
              </w:rPr>
              <w:t>省建协工程造价专委会</w:t>
            </w:r>
            <w:r>
              <w:rPr>
                <w:rFonts w:hint="eastAsia"/>
                <w:color w:val="auto"/>
                <w:spacing w:val="-8"/>
                <w:sz w:val="21"/>
              </w:rPr>
              <w:t xml:space="preserve">个人会员得 </w:t>
            </w:r>
            <w:r>
              <w:rPr>
                <w:rFonts w:hint="eastAsia"/>
                <w:color w:val="auto"/>
                <w:spacing w:val="-8"/>
                <w:sz w:val="21"/>
                <w:lang w:val="en-US"/>
              </w:rPr>
              <w:t>6</w:t>
            </w:r>
            <w:r>
              <w:rPr>
                <w:rFonts w:hint="eastAsia"/>
                <w:color w:val="auto"/>
                <w:spacing w:val="-8"/>
                <w:sz w:val="21"/>
              </w:rPr>
              <w:t>分，否则不得分。</w:t>
            </w:r>
          </w:p>
          <w:p>
            <w:pPr>
              <w:pStyle w:val="9"/>
              <w:spacing w:line="278" w:lineRule="auto"/>
              <w:ind w:left="107" w:right="96"/>
              <w:rPr>
                <w:rFonts w:hint="eastAsia"/>
                <w:color w:val="auto"/>
                <w:spacing w:val="-8"/>
                <w:sz w:val="21"/>
              </w:rPr>
            </w:pPr>
            <w:r>
              <w:rPr>
                <w:rFonts w:hint="eastAsia"/>
                <w:color w:val="auto"/>
                <w:spacing w:val="-8"/>
                <w:sz w:val="21"/>
              </w:rPr>
              <w:t>2、从事工程造价专业工作 8 年及以上，在目前单位持续工作 2-8</w:t>
            </w:r>
          </w:p>
          <w:p>
            <w:pPr>
              <w:pStyle w:val="9"/>
              <w:spacing w:line="278" w:lineRule="auto"/>
              <w:ind w:left="107" w:right="96"/>
              <w:rPr>
                <w:color w:val="auto"/>
                <w:sz w:val="21"/>
              </w:rPr>
            </w:pPr>
            <w:r>
              <w:rPr>
                <w:rFonts w:hint="eastAsia"/>
                <w:color w:val="auto"/>
                <w:spacing w:val="-8"/>
                <w:sz w:val="21"/>
              </w:rPr>
              <w:t>年及以上，得 2-8 分；不足 2 年的不得分。</w:t>
            </w:r>
          </w:p>
        </w:tc>
        <w:tc>
          <w:tcPr>
            <w:tcW w:w="618"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spacing w:before="139"/>
              <w:ind w:right="205"/>
              <w:jc w:val="right"/>
              <w:rPr>
                <w:rFonts w:ascii="Calibri"/>
                <w:b/>
                <w:color w:val="auto"/>
                <w:sz w:val="21"/>
              </w:rPr>
            </w:pPr>
            <w:r>
              <w:rPr>
                <w:rFonts w:ascii="Calibri"/>
                <w:b/>
                <w:color w:val="auto"/>
                <w:sz w:val="21"/>
              </w:rPr>
              <w:t>4</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spacing w:before="134"/>
              <w:ind w:left="107" w:right="96"/>
              <w:jc w:val="center"/>
              <w:rPr>
                <w:b/>
                <w:color w:val="auto"/>
                <w:sz w:val="21"/>
              </w:rPr>
            </w:pPr>
            <w:r>
              <w:rPr>
                <w:rFonts w:hint="eastAsia"/>
                <w:b/>
                <w:color w:val="auto"/>
                <w:sz w:val="21"/>
              </w:rPr>
              <w:t>理论水平</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spacing w:before="139"/>
              <w:ind w:left="116" w:right="103"/>
              <w:jc w:val="center"/>
              <w:rPr>
                <w:rFonts w:ascii="Calibri"/>
                <w:b/>
                <w:color w:val="auto"/>
                <w:sz w:val="21"/>
              </w:rPr>
            </w:pPr>
            <w:r>
              <w:rPr>
                <w:rFonts w:ascii="Calibri"/>
                <w:b/>
                <w:color w:val="auto"/>
                <w:sz w:val="21"/>
              </w:rPr>
              <w:t>10</w:t>
            </w:r>
          </w:p>
        </w:tc>
        <w:tc>
          <w:tcPr>
            <w:tcW w:w="5955" w:type="dxa"/>
            <w:tcBorders>
              <w:top w:val="single" w:color="000000" w:sz="4" w:space="0"/>
              <w:left w:val="single" w:color="000000" w:sz="4" w:space="0"/>
              <w:bottom w:val="single" w:color="000000" w:sz="4" w:space="0"/>
              <w:right w:val="single" w:color="000000" w:sz="4" w:space="0"/>
            </w:tcBorders>
            <w:noWrap w:val="0"/>
            <w:vAlign w:val="top"/>
          </w:tcPr>
          <w:p>
            <w:pPr>
              <w:pStyle w:val="9"/>
              <w:spacing w:line="278" w:lineRule="auto"/>
              <w:ind w:left="107" w:right="96"/>
              <w:rPr>
                <w:rFonts w:hint="eastAsia"/>
                <w:color w:val="auto"/>
                <w:spacing w:val="-8"/>
                <w:sz w:val="21"/>
              </w:rPr>
            </w:pPr>
            <w:r>
              <w:rPr>
                <w:rFonts w:hint="eastAsia"/>
                <w:color w:val="auto"/>
                <w:spacing w:val="-8"/>
                <w:sz w:val="21"/>
              </w:rPr>
              <w:t xml:space="preserve">根据个人 </w:t>
            </w:r>
            <w:r>
              <w:rPr>
                <w:rFonts w:hint="eastAsia"/>
                <w:color w:val="auto"/>
                <w:spacing w:val="-8"/>
                <w:sz w:val="21"/>
                <w:lang w:val="en-US" w:eastAsia="zh-CN"/>
              </w:rPr>
              <w:t>参评年度</w:t>
            </w:r>
            <w:r>
              <w:rPr>
                <w:rFonts w:hint="eastAsia"/>
                <w:color w:val="auto"/>
                <w:spacing w:val="-8"/>
                <w:sz w:val="21"/>
              </w:rPr>
              <w:t>相关情况为评分依据：</w:t>
            </w:r>
          </w:p>
          <w:p>
            <w:pPr>
              <w:pStyle w:val="9"/>
              <w:spacing w:line="278" w:lineRule="auto"/>
              <w:ind w:left="107" w:right="96"/>
              <w:rPr>
                <w:rFonts w:hint="eastAsia"/>
                <w:color w:val="auto"/>
                <w:spacing w:val="-8"/>
                <w:sz w:val="21"/>
              </w:rPr>
            </w:pPr>
            <w:r>
              <w:rPr>
                <w:rFonts w:hint="eastAsia"/>
                <w:color w:val="auto"/>
                <w:spacing w:val="-8"/>
                <w:sz w:val="21"/>
              </w:rPr>
              <w:t>主编专业书籍的，每项 6  分；参编专业书籍或在公开刊物发表</w:t>
            </w:r>
          </w:p>
          <w:p>
            <w:pPr>
              <w:pStyle w:val="9"/>
              <w:spacing w:line="278" w:lineRule="auto"/>
              <w:ind w:left="107" w:right="96"/>
              <w:rPr>
                <w:rFonts w:hint="eastAsia"/>
                <w:color w:val="auto"/>
                <w:spacing w:val="-8"/>
                <w:sz w:val="21"/>
              </w:rPr>
            </w:pPr>
            <w:r>
              <w:rPr>
                <w:rFonts w:hint="eastAsia"/>
                <w:color w:val="auto"/>
                <w:spacing w:val="-8"/>
                <w:sz w:val="21"/>
              </w:rPr>
              <w:t>论文的，每项 5 分；在</w:t>
            </w:r>
            <w:r>
              <w:rPr>
                <w:rFonts w:hint="eastAsia"/>
                <w:color w:val="auto"/>
                <w:spacing w:val="-8"/>
                <w:sz w:val="21"/>
                <w:lang w:eastAsia="zh-CN"/>
              </w:rPr>
              <w:t>省建协工程造价专委会</w:t>
            </w:r>
            <w:r>
              <w:rPr>
                <w:rFonts w:hint="eastAsia"/>
                <w:color w:val="auto"/>
                <w:spacing w:val="-8"/>
                <w:sz w:val="21"/>
              </w:rPr>
              <w:t>内部刊物、网站、公众号或资料上发表论文或新闻稿的，每篇 3 分。</w:t>
            </w:r>
          </w:p>
          <w:p>
            <w:pPr>
              <w:pStyle w:val="9"/>
              <w:spacing w:line="278" w:lineRule="auto"/>
              <w:ind w:left="107" w:right="96"/>
              <w:rPr>
                <w:color w:val="auto"/>
                <w:sz w:val="21"/>
              </w:rPr>
            </w:pPr>
            <w:r>
              <w:rPr>
                <w:rFonts w:hint="eastAsia"/>
                <w:color w:val="auto"/>
                <w:spacing w:val="-8"/>
                <w:sz w:val="21"/>
              </w:rPr>
              <w:t>本项最高分为 10 分。</w:t>
            </w:r>
          </w:p>
        </w:tc>
        <w:tc>
          <w:tcPr>
            <w:tcW w:w="618"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bl>
    <w:p>
      <w:pPr>
        <w:rPr>
          <w:rFonts w:ascii="Times New Roman"/>
          <w:color w:val="auto"/>
          <w:sz w:val="20"/>
        </w:rPr>
        <w:sectPr>
          <w:footerReference r:id="rId3" w:type="default"/>
          <w:pgSz w:w="11910" w:h="16840"/>
          <w:pgMar w:top="1500" w:right="1200" w:bottom="280" w:left="1320" w:header="720" w:footer="720" w:gutter="0"/>
          <w:cols w:space="720" w:num="1"/>
        </w:sectPr>
      </w:pPr>
    </w:p>
    <w:tbl>
      <w:tblPr>
        <w:tblStyle w:val="5"/>
        <w:tblW w:w="9060"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065"/>
        <w:gridCol w:w="840"/>
        <w:gridCol w:w="5970"/>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8"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4"/>
              <w:rPr>
                <w:color w:val="auto"/>
                <w:sz w:val="21"/>
              </w:rPr>
            </w:pPr>
          </w:p>
          <w:p>
            <w:pPr>
              <w:pStyle w:val="9"/>
              <w:ind w:left="8"/>
              <w:jc w:val="center"/>
              <w:rPr>
                <w:rFonts w:ascii="Calibri"/>
                <w:b/>
                <w:color w:val="auto"/>
                <w:sz w:val="21"/>
              </w:rPr>
            </w:pPr>
            <w:r>
              <w:rPr>
                <w:rFonts w:ascii="Calibri"/>
                <w:b/>
                <w:color w:val="auto"/>
                <w:sz w:val="21"/>
              </w:rPr>
              <w:t>5</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7"/>
              <w:rPr>
                <w:color w:val="auto"/>
                <w:sz w:val="16"/>
              </w:rPr>
            </w:pPr>
          </w:p>
          <w:p>
            <w:pPr>
              <w:pStyle w:val="9"/>
              <w:spacing w:line="278" w:lineRule="auto"/>
              <w:ind w:left="126" w:right="113"/>
              <w:jc w:val="center"/>
              <w:rPr>
                <w:b/>
                <w:color w:val="auto"/>
                <w:sz w:val="21"/>
              </w:rPr>
            </w:pPr>
            <w:r>
              <w:rPr>
                <w:rFonts w:hint="eastAsia"/>
                <w:b/>
                <w:color w:val="auto"/>
                <w:sz w:val="21"/>
              </w:rPr>
              <w:t>专业技术及业务能力</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4"/>
              <w:rPr>
                <w:color w:val="auto"/>
                <w:sz w:val="21"/>
              </w:rPr>
            </w:pPr>
          </w:p>
          <w:p>
            <w:pPr>
              <w:pStyle w:val="9"/>
              <w:ind w:left="116" w:right="103"/>
              <w:jc w:val="center"/>
              <w:rPr>
                <w:rFonts w:ascii="Calibri"/>
                <w:b/>
                <w:color w:val="auto"/>
                <w:sz w:val="21"/>
              </w:rPr>
            </w:pPr>
            <w:r>
              <w:rPr>
                <w:rFonts w:ascii="Calibri"/>
                <w:b/>
                <w:color w:val="auto"/>
                <w:sz w:val="21"/>
              </w:rPr>
              <w:t>15</w:t>
            </w:r>
          </w:p>
        </w:tc>
        <w:tc>
          <w:tcPr>
            <w:tcW w:w="5970" w:type="dxa"/>
            <w:tcBorders>
              <w:top w:val="single" w:color="000000" w:sz="4" w:space="0"/>
              <w:left w:val="single" w:color="000000" w:sz="4" w:space="0"/>
              <w:bottom w:val="single" w:color="000000" w:sz="4" w:space="0"/>
              <w:right w:val="single" w:color="000000" w:sz="4" w:space="0"/>
            </w:tcBorders>
            <w:noWrap w:val="0"/>
            <w:vAlign w:val="top"/>
          </w:tcPr>
          <w:p>
            <w:pPr>
              <w:pStyle w:val="9"/>
              <w:spacing w:line="278" w:lineRule="auto"/>
              <w:ind w:left="107" w:right="96"/>
              <w:rPr>
                <w:rFonts w:hint="eastAsia"/>
                <w:color w:val="auto"/>
                <w:spacing w:val="-8"/>
                <w:sz w:val="21"/>
              </w:rPr>
            </w:pPr>
            <w:r>
              <w:rPr>
                <w:rFonts w:hint="eastAsia"/>
                <w:color w:val="auto"/>
                <w:spacing w:val="-8"/>
                <w:sz w:val="21"/>
              </w:rPr>
              <w:t>1、领导公司或部门开展及全面管理造价业务的工作，参与重要工程造价咨询业务的策划、论证及评审等工作的，得 3 分，基</w:t>
            </w:r>
          </w:p>
          <w:p>
            <w:pPr>
              <w:pStyle w:val="9"/>
              <w:spacing w:line="278" w:lineRule="auto"/>
              <w:ind w:left="107" w:right="96"/>
              <w:rPr>
                <w:rFonts w:hint="eastAsia"/>
                <w:color w:val="auto"/>
                <w:spacing w:val="-8"/>
                <w:sz w:val="21"/>
              </w:rPr>
            </w:pPr>
            <w:r>
              <w:rPr>
                <w:rFonts w:hint="eastAsia"/>
                <w:color w:val="auto"/>
                <w:spacing w:val="-8"/>
                <w:sz w:val="21"/>
              </w:rPr>
              <w:t>本能符合以上技术能力的，得 2 分；一般符合的，得 1 分。</w:t>
            </w:r>
          </w:p>
          <w:p>
            <w:pPr>
              <w:pStyle w:val="9"/>
              <w:spacing w:line="278" w:lineRule="auto"/>
              <w:ind w:left="107" w:right="96"/>
              <w:rPr>
                <w:rFonts w:hint="eastAsia"/>
                <w:color w:val="auto"/>
                <w:spacing w:val="-8"/>
                <w:sz w:val="21"/>
              </w:rPr>
            </w:pPr>
            <w:r>
              <w:rPr>
                <w:rFonts w:hint="eastAsia"/>
                <w:color w:val="auto"/>
                <w:spacing w:val="-8"/>
                <w:sz w:val="21"/>
              </w:rPr>
              <w:t>2、负责公司或部门造价业务的技术研发、技术交底、技术培训、技术积累、技术总结和技术控制等工作的，得 3 分，基本能符</w:t>
            </w:r>
          </w:p>
          <w:p>
            <w:pPr>
              <w:pStyle w:val="9"/>
              <w:spacing w:line="278" w:lineRule="auto"/>
              <w:ind w:left="107" w:right="96"/>
              <w:rPr>
                <w:rFonts w:hint="eastAsia"/>
                <w:color w:val="auto"/>
                <w:spacing w:val="-8"/>
                <w:sz w:val="21"/>
              </w:rPr>
            </w:pPr>
            <w:r>
              <w:rPr>
                <w:rFonts w:hint="eastAsia"/>
                <w:color w:val="auto"/>
                <w:spacing w:val="-8"/>
                <w:sz w:val="21"/>
              </w:rPr>
              <w:t>合以上技术能力的，得 2 分；一般符合的，得 1 分。</w:t>
            </w:r>
          </w:p>
          <w:p>
            <w:pPr>
              <w:pStyle w:val="9"/>
              <w:spacing w:line="278" w:lineRule="auto"/>
              <w:ind w:left="107" w:right="96"/>
              <w:rPr>
                <w:rFonts w:hint="eastAsia"/>
                <w:color w:val="auto"/>
                <w:spacing w:val="-8"/>
                <w:sz w:val="21"/>
              </w:rPr>
            </w:pPr>
            <w:r>
              <w:rPr>
                <w:rFonts w:hint="eastAsia"/>
                <w:color w:val="auto"/>
                <w:spacing w:val="-8"/>
                <w:sz w:val="21"/>
              </w:rPr>
              <w:t>3、动态掌握造价咨询业务实施状况，协调并研究解决存在的问题，对咨询业务的实施和质量管理工作能作出指导和协调工作的，得 3 分，基本能符合以上技术能力的，得 2 分；一般符合的，得 1 分。</w:t>
            </w:r>
          </w:p>
          <w:p>
            <w:pPr>
              <w:pStyle w:val="9"/>
              <w:spacing w:line="278" w:lineRule="auto"/>
              <w:ind w:left="107" w:right="96"/>
              <w:rPr>
                <w:rFonts w:hint="eastAsia"/>
                <w:color w:val="auto"/>
                <w:spacing w:val="-8"/>
                <w:sz w:val="21"/>
              </w:rPr>
            </w:pPr>
            <w:r>
              <w:rPr>
                <w:rFonts w:hint="eastAsia"/>
                <w:color w:val="auto"/>
                <w:spacing w:val="-8"/>
                <w:sz w:val="21"/>
              </w:rPr>
              <w:t>4、展开本职咨询工作，对实施的各项工作做好咨询质量的自主控制，造价咨询成果符合质量要求的，得 3 分，基本能符合以</w:t>
            </w:r>
          </w:p>
          <w:p>
            <w:pPr>
              <w:pStyle w:val="9"/>
              <w:spacing w:line="278" w:lineRule="auto"/>
              <w:ind w:left="107" w:right="96"/>
              <w:rPr>
                <w:rFonts w:hint="eastAsia"/>
                <w:color w:val="auto"/>
                <w:spacing w:val="-8"/>
                <w:sz w:val="21"/>
              </w:rPr>
            </w:pPr>
            <w:r>
              <w:rPr>
                <w:rFonts w:hint="eastAsia"/>
                <w:color w:val="auto"/>
                <w:spacing w:val="-8"/>
                <w:sz w:val="21"/>
              </w:rPr>
              <w:t>上技术能力的，得 2 分；一般符合的，得 1 分。</w:t>
            </w:r>
          </w:p>
          <w:p>
            <w:pPr>
              <w:pStyle w:val="9"/>
              <w:spacing w:line="278" w:lineRule="auto"/>
              <w:ind w:left="107" w:right="96"/>
              <w:rPr>
                <w:rFonts w:hint="eastAsia"/>
                <w:color w:val="auto"/>
                <w:spacing w:val="-8"/>
                <w:sz w:val="21"/>
              </w:rPr>
            </w:pPr>
            <w:r>
              <w:rPr>
                <w:rFonts w:hint="eastAsia"/>
                <w:color w:val="auto"/>
                <w:spacing w:val="-8"/>
                <w:sz w:val="21"/>
              </w:rPr>
              <w:t>5、</w:t>
            </w:r>
            <w:r>
              <w:rPr>
                <w:rFonts w:hint="eastAsia"/>
                <w:color w:val="auto"/>
                <w:spacing w:val="-8"/>
                <w:sz w:val="21"/>
                <w:lang w:val="en-US" w:eastAsia="zh-CN"/>
              </w:rPr>
              <w:t>参评</w:t>
            </w:r>
            <w:r>
              <w:rPr>
                <w:rFonts w:hint="eastAsia"/>
                <w:color w:val="auto"/>
                <w:spacing w:val="-8"/>
                <w:sz w:val="21"/>
              </w:rPr>
              <w:t>年</w:t>
            </w:r>
            <w:r>
              <w:rPr>
                <w:rFonts w:hint="eastAsia"/>
                <w:color w:val="auto"/>
                <w:spacing w:val="-8"/>
                <w:sz w:val="21"/>
                <w:lang w:eastAsia="zh-CN"/>
              </w:rPr>
              <w:t>度</w:t>
            </w:r>
            <w:r>
              <w:rPr>
                <w:rFonts w:hint="eastAsia"/>
                <w:color w:val="auto"/>
                <w:spacing w:val="-8"/>
                <w:sz w:val="21"/>
              </w:rPr>
              <w:t xml:space="preserve">，作为项目负责人投资规模在 </w:t>
            </w:r>
            <w:r>
              <w:rPr>
                <w:rFonts w:hint="eastAsia"/>
                <w:color w:val="auto"/>
                <w:spacing w:val="-8"/>
                <w:sz w:val="21"/>
                <w:lang w:val="en-US"/>
              </w:rPr>
              <w:t>2</w:t>
            </w:r>
            <w:r>
              <w:rPr>
                <w:rFonts w:hint="eastAsia"/>
                <w:color w:val="auto"/>
                <w:spacing w:val="-8"/>
                <w:sz w:val="21"/>
              </w:rPr>
              <w:t xml:space="preserve"> 亿及以上的项目或全过程工程造价成果编制或审核每项得 3  分（共 15  分），≥1 亿的大型项目每项得 2 分（共 10 分），≥5000万的中型项目每项得 1分（共 5 分），≥</w:t>
            </w:r>
            <w:r>
              <w:rPr>
                <w:rFonts w:hint="eastAsia"/>
                <w:color w:val="auto"/>
                <w:spacing w:val="-8"/>
                <w:sz w:val="21"/>
                <w:lang w:val="en-US"/>
              </w:rPr>
              <w:t>3</w:t>
            </w:r>
            <w:r>
              <w:rPr>
                <w:rFonts w:hint="eastAsia"/>
                <w:color w:val="auto"/>
                <w:spacing w:val="-8"/>
                <w:sz w:val="21"/>
              </w:rPr>
              <w:t>000万每项得 0.5 分，其它不得分（共 5 分）</w:t>
            </w:r>
          </w:p>
          <w:p>
            <w:pPr>
              <w:pStyle w:val="9"/>
              <w:spacing w:line="278" w:lineRule="auto"/>
              <w:ind w:left="107" w:right="96"/>
              <w:rPr>
                <w:rFonts w:hint="eastAsia"/>
                <w:color w:val="auto"/>
                <w:spacing w:val="-8"/>
                <w:sz w:val="21"/>
              </w:rPr>
            </w:pPr>
            <w:r>
              <w:rPr>
                <w:rFonts w:hint="eastAsia"/>
                <w:color w:val="auto"/>
                <w:spacing w:val="-8"/>
                <w:sz w:val="21"/>
              </w:rPr>
              <w:t>备注：本项最高分为 15 分。</w:t>
            </w: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51"/>
              <w:ind w:left="8"/>
              <w:jc w:val="center"/>
              <w:rPr>
                <w:rFonts w:ascii="Calibri"/>
                <w:b/>
                <w:color w:val="auto"/>
                <w:sz w:val="21"/>
              </w:rPr>
            </w:pPr>
            <w:r>
              <w:rPr>
                <w:rFonts w:ascii="Calibri"/>
                <w:b/>
                <w:color w:val="auto"/>
                <w:sz w:val="21"/>
              </w:rPr>
              <w:t>6</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45"/>
              <w:ind w:left="126"/>
              <w:rPr>
                <w:b/>
                <w:color w:val="auto"/>
                <w:sz w:val="21"/>
              </w:rPr>
            </w:pPr>
            <w:r>
              <w:rPr>
                <w:rFonts w:hint="eastAsia"/>
                <w:b/>
                <w:color w:val="auto"/>
                <w:sz w:val="21"/>
              </w:rPr>
              <w:t>获奖情况</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51"/>
              <w:ind w:left="116" w:right="103"/>
              <w:jc w:val="center"/>
              <w:rPr>
                <w:rFonts w:ascii="Calibri"/>
                <w:b/>
                <w:color w:val="auto"/>
                <w:sz w:val="21"/>
              </w:rPr>
            </w:pPr>
            <w:r>
              <w:rPr>
                <w:rFonts w:ascii="Calibri"/>
                <w:b/>
                <w:color w:val="auto"/>
                <w:sz w:val="21"/>
              </w:rPr>
              <w:t>15</w:t>
            </w:r>
          </w:p>
        </w:tc>
        <w:tc>
          <w:tcPr>
            <w:tcW w:w="5970" w:type="dxa"/>
            <w:tcBorders>
              <w:top w:val="single" w:color="000000" w:sz="4" w:space="0"/>
              <w:left w:val="single" w:color="000000" w:sz="4" w:space="0"/>
              <w:bottom w:val="single" w:color="000000" w:sz="4" w:space="0"/>
              <w:right w:val="single" w:color="000000" w:sz="4" w:space="0"/>
            </w:tcBorders>
            <w:noWrap w:val="0"/>
            <w:vAlign w:val="top"/>
          </w:tcPr>
          <w:p>
            <w:pPr>
              <w:pStyle w:val="9"/>
              <w:spacing w:line="278" w:lineRule="auto"/>
              <w:ind w:left="107" w:right="96"/>
              <w:rPr>
                <w:rFonts w:hint="eastAsia"/>
                <w:color w:val="auto"/>
                <w:spacing w:val="-8"/>
                <w:sz w:val="21"/>
              </w:rPr>
            </w:pPr>
            <w:r>
              <w:rPr>
                <w:rFonts w:hint="eastAsia"/>
                <w:color w:val="auto"/>
                <w:spacing w:val="-8"/>
                <w:sz w:val="21"/>
              </w:rPr>
              <w:t>以</w:t>
            </w:r>
            <w:r>
              <w:rPr>
                <w:rFonts w:hint="eastAsia"/>
                <w:color w:val="auto"/>
                <w:spacing w:val="-8"/>
                <w:sz w:val="21"/>
                <w:lang w:eastAsia="zh-CN"/>
              </w:rPr>
              <w:t>参评年度</w:t>
            </w:r>
            <w:r>
              <w:rPr>
                <w:rFonts w:hint="eastAsia"/>
                <w:color w:val="auto"/>
                <w:spacing w:val="-8"/>
                <w:sz w:val="21"/>
              </w:rPr>
              <w:t>个人主持或参与完成</w:t>
            </w:r>
            <w:r>
              <w:rPr>
                <w:rFonts w:hint="eastAsia"/>
                <w:color w:val="auto"/>
                <w:spacing w:val="-8"/>
                <w:sz w:val="21"/>
                <w:lang w:eastAsia="zh-CN"/>
              </w:rPr>
              <w:t>国家级、省级主管部门或省级协会</w:t>
            </w:r>
            <w:r>
              <w:rPr>
                <w:rFonts w:hint="eastAsia"/>
                <w:color w:val="auto"/>
                <w:spacing w:val="-8"/>
                <w:sz w:val="21"/>
              </w:rPr>
              <w:t>所获得的奖项为评分依据：</w:t>
            </w:r>
          </w:p>
          <w:p>
            <w:pPr>
              <w:pStyle w:val="9"/>
              <w:spacing w:line="278" w:lineRule="auto"/>
              <w:ind w:left="107" w:right="96"/>
              <w:rPr>
                <w:rFonts w:hint="eastAsia"/>
                <w:color w:val="auto"/>
                <w:spacing w:val="-8"/>
                <w:sz w:val="21"/>
              </w:rPr>
            </w:pPr>
            <w:r>
              <w:rPr>
                <w:rFonts w:hint="eastAsia"/>
                <w:color w:val="auto"/>
                <w:spacing w:val="-8"/>
                <w:sz w:val="21"/>
              </w:rPr>
              <w:t>1、获中国建设工程造价管理协会奖项，主持的每项得 5 分，参</w:t>
            </w:r>
          </w:p>
          <w:p>
            <w:pPr>
              <w:pStyle w:val="9"/>
              <w:spacing w:line="278" w:lineRule="auto"/>
              <w:ind w:left="107" w:right="96"/>
              <w:rPr>
                <w:rFonts w:hint="eastAsia"/>
                <w:color w:val="auto"/>
                <w:spacing w:val="-8"/>
                <w:sz w:val="21"/>
              </w:rPr>
            </w:pPr>
            <w:r>
              <w:rPr>
                <w:rFonts w:hint="eastAsia"/>
                <w:color w:val="auto"/>
                <w:spacing w:val="-8"/>
                <w:sz w:val="21"/>
              </w:rPr>
              <w:t>与的每项得 3 分。</w:t>
            </w:r>
          </w:p>
          <w:p>
            <w:pPr>
              <w:pStyle w:val="9"/>
              <w:spacing w:line="278" w:lineRule="auto"/>
              <w:ind w:left="107" w:right="96"/>
              <w:rPr>
                <w:rFonts w:hint="eastAsia"/>
                <w:color w:val="auto"/>
                <w:spacing w:val="-8"/>
                <w:sz w:val="21"/>
              </w:rPr>
            </w:pPr>
            <w:r>
              <w:rPr>
                <w:rFonts w:hint="eastAsia"/>
                <w:color w:val="auto"/>
                <w:spacing w:val="-8"/>
                <w:sz w:val="21"/>
              </w:rPr>
              <w:t>2、获</w:t>
            </w:r>
            <w:r>
              <w:rPr>
                <w:rFonts w:hint="eastAsia"/>
                <w:color w:val="auto"/>
                <w:spacing w:val="-8"/>
                <w:sz w:val="21"/>
                <w:lang w:eastAsia="zh-CN"/>
              </w:rPr>
              <w:t>省建协工程造价专委会</w:t>
            </w:r>
            <w:r>
              <w:rPr>
                <w:rFonts w:hint="eastAsia"/>
                <w:color w:val="auto"/>
                <w:spacing w:val="-8"/>
                <w:sz w:val="21"/>
              </w:rPr>
              <w:t>奖项，主持的每项得 4 分，参与的每项得 2 分。</w:t>
            </w:r>
          </w:p>
          <w:p>
            <w:pPr>
              <w:pStyle w:val="9"/>
              <w:spacing w:line="278" w:lineRule="auto"/>
              <w:ind w:left="107" w:right="96"/>
              <w:rPr>
                <w:rFonts w:hint="eastAsia"/>
                <w:color w:val="auto"/>
                <w:spacing w:val="-8"/>
                <w:sz w:val="21"/>
              </w:rPr>
            </w:pPr>
            <w:r>
              <w:rPr>
                <w:rFonts w:hint="eastAsia"/>
                <w:color w:val="auto"/>
                <w:spacing w:val="-8"/>
                <w:sz w:val="21"/>
              </w:rPr>
              <w:t>如同一个项目获得多个等级奖项，以最高奖项为得分项，不叠加；本项最高得 15 分。</w:t>
            </w: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7"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4"/>
              <w:rPr>
                <w:color w:val="auto"/>
                <w:sz w:val="28"/>
              </w:rPr>
            </w:pPr>
          </w:p>
          <w:p>
            <w:pPr>
              <w:pStyle w:val="9"/>
              <w:ind w:left="8"/>
              <w:jc w:val="center"/>
              <w:rPr>
                <w:rFonts w:ascii="Calibri"/>
                <w:b/>
                <w:color w:val="auto"/>
                <w:sz w:val="21"/>
              </w:rPr>
            </w:pPr>
            <w:r>
              <w:rPr>
                <w:rFonts w:ascii="Calibri"/>
                <w:b/>
                <w:color w:val="auto"/>
                <w:sz w:val="21"/>
              </w:rPr>
              <w:t>7</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7"/>
              <w:rPr>
                <w:color w:val="auto"/>
                <w:sz w:val="23"/>
              </w:rPr>
            </w:pPr>
          </w:p>
          <w:p>
            <w:pPr>
              <w:pStyle w:val="9"/>
              <w:ind w:left="126"/>
              <w:rPr>
                <w:b/>
                <w:color w:val="auto"/>
                <w:sz w:val="21"/>
              </w:rPr>
            </w:pPr>
            <w:r>
              <w:rPr>
                <w:rFonts w:hint="eastAsia"/>
                <w:b/>
                <w:color w:val="auto"/>
                <w:sz w:val="21"/>
              </w:rPr>
              <w:t>支持行业</w:t>
            </w:r>
          </w:p>
          <w:p>
            <w:pPr>
              <w:pStyle w:val="9"/>
              <w:spacing w:before="43" w:line="278" w:lineRule="auto"/>
              <w:ind w:left="126" w:right="113"/>
              <w:rPr>
                <w:b/>
                <w:color w:val="auto"/>
                <w:sz w:val="21"/>
              </w:rPr>
            </w:pPr>
            <w:r>
              <w:rPr>
                <w:rFonts w:hint="eastAsia"/>
                <w:b/>
                <w:color w:val="auto"/>
                <w:sz w:val="21"/>
              </w:rPr>
              <w:t>（协会</w:t>
            </w:r>
            <w:r>
              <w:rPr>
                <w:rFonts w:hint="eastAsia"/>
                <w:b/>
                <w:color w:val="auto"/>
                <w:spacing w:val="-17"/>
                <w:sz w:val="21"/>
              </w:rPr>
              <w:t>）</w:t>
            </w:r>
            <w:r>
              <w:rPr>
                <w:b/>
                <w:color w:val="auto"/>
                <w:spacing w:val="-17"/>
                <w:sz w:val="21"/>
              </w:rPr>
              <w:t xml:space="preserve"> </w:t>
            </w:r>
            <w:r>
              <w:rPr>
                <w:rFonts w:hint="eastAsia"/>
                <w:b/>
                <w:color w:val="auto"/>
                <w:spacing w:val="-5"/>
                <w:sz w:val="21"/>
              </w:rPr>
              <w:t>发展工作</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4"/>
              <w:rPr>
                <w:color w:val="auto"/>
                <w:sz w:val="28"/>
              </w:rPr>
            </w:pPr>
          </w:p>
          <w:p>
            <w:pPr>
              <w:pStyle w:val="9"/>
              <w:ind w:left="116" w:right="103"/>
              <w:jc w:val="center"/>
              <w:rPr>
                <w:rFonts w:ascii="Calibri"/>
                <w:b/>
                <w:color w:val="auto"/>
                <w:sz w:val="21"/>
              </w:rPr>
            </w:pPr>
            <w:r>
              <w:rPr>
                <w:rFonts w:ascii="Calibri"/>
                <w:b/>
                <w:color w:val="auto"/>
                <w:sz w:val="21"/>
              </w:rPr>
              <w:t>25</w:t>
            </w:r>
          </w:p>
        </w:tc>
        <w:tc>
          <w:tcPr>
            <w:tcW w:w="5970" w:type="dxa"/>
            <w:tcBorders>
              <w:top w:val="single" w:color="000000" w:sz="4" w:space="0"/>
              <w:left w:val="single" w:color="000000" w:sz="4" w:space="0"/>
              <w:bottom w:val="single" w:color="000000" w:sz="4" w:space="0"/>
              <w:right w:val="single" w:color="000000" w:sz="4" w:space="0"/>
            </w:tcBorders>
            <w:noWrap w:val="0"/>
            <w:vAlign w:val="top"/>
          </w:tcPr>
          <w:p>
            <w:pPr>
              <w:pStyle w:val="9"/>
              <w:spacing w:line="278" w:lineRule="auto"/>
              <w:ind w:left="107" w:right="96"/>
              <w:rPr>
                <w:rFonts w:hint="eastAsia"/>
                <w:color w:val="auto"/>
                <w:spacing w:val="-8"/>
                <w:sz w:val="21"/>
              </w:rPr>
            </w:pPr>
            <w:r>
              <w:rPr>
                <w:rFonts w:hint="eastAsia"/>
                <w:color w:val="auto"/>
                <w:spacing w:val="-8"/>
                <w:sz w:val="21"/>
              </w:rPr>
              <w:t>以</w:t>
            </w:r>
            <w:r>
              <w:rPr>
                <w:rFonts w:hint="eastAsia"/>
                <w:color w:val="auto"/>
                <w:spacing w:val="-8"/>
                <w:sz w:val="21"/>
                <w:lang w:eastAsia="zh-CN"/>
              </w:rPr>
              <w:t>参评年度</w:t>
            </w:r>
            <w:r>
              <w:rPr>
                <w:rFonts w:hint="eastAsia"/>
                <w:color w:val="auto"/>
                <w:spacing w:val="-8"/>
                <w:sz w:val="21"/>
              </w:rPr>
              <w:t>个人参与行业（协会）活动情况为评分依据：</w:t>
            </w:r>
          </w:p>
          <w:p>
            <w:pPr>
              <w:pStyle w:val="9"/>
              <w:spacing w:line="278" w:lineRule="auto"/>
              <w:ind w:left="107" w:right="96"/>
              <w:rPr>
                <w:rFonts w:hint="eastAsia"/>
                <w:color w:val="auto"/>
                <w:spacing w:val="-8"/>
                <w:sz w:val="21"/>
              </w:rPr>
            </w:pPr>
            <w:r>
              <w:rPr>
                <w:rFonts w:hint="eastAsia"/>
                <w:color w:val="auto"/>
                <w:spacing w:val="-8"/>
                <w:sz w:val="21"/>
              </w:rPr>
              <w:t xml:space="preserve"> 1、参与国家住建部、中价协组织的工程计价依据、标准、规范等编审，每项得 3 分；</w:t>
            </w:r>
          </w:p>
          <w:p>
            <w:pPr>
              <w:pStyle w:val="9"/>
              <w:spacing w:line="278" w:lineRule="auto"/>
              <w:ind w:left="107" w:right="96"/>
              <w:rPr>
                <w:rFonts w:hint="eastAsia"/>
                <w:color w:val="auto"/>
                <w:spacing w:val="-8"/>
                <w:sz w:val="21"/>
              </w:rPr>
            </w:pPr>
            <w:r>
              <w:rPr>
                <w:rFonts w:hint="eastAsia"/>
                <w:color w:val="auto"/>
                <w:spacing w:val="-8"/>
                <w:sz w:val="21"/>
              </w:rPr>
              <w:t>2、参与吉林省行业主管部门、</w:t>
            </w:r>
            <w:r>
              <w:rPr>
                <w:rFonts w:hint="eastAsia"/>
                <w:color w:val="auto"/>
                <w:spacing w:val="-8"/>
                <w:sz w:val="21"/>
                <w:lang w:eastAsia="zh-CN"/>
              </w:rPr>
              <w:t>省建协工程造价专委会</w:t>
            </w:r>
            <w:r>
              <w:rPr>
                <w:rFonts w:hint="eastAsia"/>
                <w:color w:val="auto"/>
                <w:spacing w:val="-8"/>
                <w:sz w:val="21"/>
              </w:rPr>
              <w:t>组织的工程计价依据、标准、规范等编审，每项得 2 分；</w:t>
            </w:r>
          </w:p>
          <w:p>
            <w:pPr>
              <w:pStyle w:val="9"/>
              <w:spacing w:line="278" w:lineRule="auto"/>
              <w:ind w:left="107" w:right="96"/>
              <w:rPr>
                <w:rFonts w:hint="eastAsia"/>
                <w:color w:val="auto"/>
                <w:spacing w:val="-8"/>
                <w:sz w:val="21"/>
              </w:rPr>
            </w:pPr>
            <w:r>
              <w:rPr>
                <w:rFonts w:hint="eastAsia"/>
                <w:color w:val="auto"/>
                <w:spacing w:val="-8"/>
                <w:sz w:val="21"/>
              </w:rPr>
              <w:t>3、参与地市级主管部门组织的地区计价依据和标准规范编审的，每项得 1 分；</w:t>
            </w:r>
          </w:p>
          <w:p>
            <w:pPr>
              <w:pStyle w:val="9"/>
              <w:spacing w:line="278" w:lineRule="auto"/>
              <w:ind w:left="107" w:right="96"/>
              <w:rPr>
                <w:rFonts w:hint="eastAsia"/>
                <w:color w:val="auto"/>
                <w:spacing w:val="-8"/>
                <w:sz w:val="21"/>
              </w:rPr>
            </w:pPr>
            <w:r>
              <w:rPr>
                <w:rFonts w:hint="eastAsia"/>
                <w:color w:val="auto"/>
                <w:spacing w:val="-8"/>
                <w:sz w:val="21"/>
              </w:rPr>
              <w:t>4、参与中价协和</w:t>
            </w:r>
            <w:r>
              <w:rPr>
                <w:rFonts w:hint="eastAsia"/>
                <w:color w:val="auto"/>
                <w:spacing w:val="-8"/>
                <w:sz w:val="21"/>
                <w:lang w:eastAsia="zh-CN"/>
              </w:rPr>
              <w:t>省建协工程造价专委会</w:t>
            </w:r>
            <w:r>
              <w:rPr>
                <w:rFonts w:hint="eastAsia"/>
                <w:color w:val="auto"/>
                <w:spacing w:val="-8"/>
                <w:sz w:val="21"/>
              </w:rPr>
              <w:t>举办的会议、论坛、课题研究、专家评审等协会活动，每次 1分；亲自为协会工作或活动进行工作服务的，每次 2 分；</w:t>
            </w:r>
          </w:p>
          <w:p>
            <w:pPr>
              <w:pStyle w:val="9"/>
              <w:spacing w:line="278" w:lineRule="auto"/>
              <w:ind w:left="107" w:right="96"/>
              <w:rPr>
                <w:rFonts w:hint="eastAsia"/>
                <w:color w:val="auto"/>
                <w:spacing w:val="-8"/>
                <w:sz w:val="21"/>
              </w:rPr>
            </w:pPr>
            <w:r>
              <w:rPr>
                <w:rFonts w:hint="eastAsia"/>
                <w:color w:val="auto"/>
                <w:spacing w:val="-8"/>
                <w:sz w:val="21"/>
              </w:rPr>
              <w:t>5、个人参加社会公益活动（扶贫、捐赠、义工等），每次 1 分。</w:t>
            </w: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50" w:type="dxa"/>
            <w:gridSpan w:val="2"/>
            <w:tcBorders>
              <w:top w:val="single" w:color="000000" w:sz="4" w:space="0"/>
              <w:left w:val="single" w:color="000000" w:sz="4" w:space="0"/>
              <w:bottom w:val="single" w:color="000000" w:sz="4" w:space="0"/>
              <w:right w:val="single" w:color="000000" w:sz="4" w:space="0"/>
            </w:tcBorders>
            <w:noWrap w:val="0"/>
            <w:vAlign w:val="top"/>
          </w:tcPr>
          <w:p>
            <w:pPr>
              <w:pStyle w:val="9"/>
              <w:spacing w:before="75"/>
              <w:ind w:left="587" w:right="578"/>
              <w:jc w:val="center"/>
              <w:rPr>
                <w:rFonts w:hint="eastAsia"/>
                <w:b/>
                <w:color w:val="auto"/>
                <w:sz w:val="21"/>
              </w:rPr>
            </w:pPr>
            <w:r>
              <w:rPr>
                <w:rFonts w:hint="eastAsia"/>
                <w:b/>
                <w:color w:val="auto"/>
                <w:sz w:val="21"/>
              </w:rPr>
              <w:t>合</w:t>
            </w:r>
          </w:p>
          <w:p>
            <w:pPr>
              <w:pStyle w:val="9"/>
              <w:spacing w:before="75"/>
              <w:ind w:left="587" w:right="578"/>
              <w:jc w:val="center"/>
              <w:rPr>
                <w:b/>
                <w:color w:val="auto"/>
                <w:sz w:val="21"/>
              </w:rPr>
            </w:pPr>
            <w:r>
              <w:rPr>
                <w:rFonts w:hint="eastAsia"/>
                <w:b/>
                <w:color w:val="auto"/>
                <w:sz w:val="21"/>
              </w:rPr>
              <w:t>计</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pStyle w:val="9"/>
              <w:spacing w:before="75"/>
              <w:ind w:left="116" w:right="105"/>
              <w:jc w:val="center"/>
              <w:rPr>
                <w:b/>
                <w:color w:val="auto"/>
                <w:sz w:val="21"/>
              </w:rPr>
            </w:pPr>
            <w:r>
              <w:rPr>
                <w:rFonts w:ascii="Calibri" w:eastAsia="Times New Roman"/>
                <w:b/>
                <w:color w:val="auto"/>
                <w:sz w:val="21"/>
              </w:rPr>
              <w:t xml:space="preserve">100 </w:t>
            </w:r>
            <w:r>
              <w:rPr>
                <w:rFonts w:hint="eastAsia"/>
                <w:b/>
                <w:color w:val="auto"/>
                <w:sz w:val="21"/>
              </w:rPr>
              <w:t>分</w:t>
            </w:r>
          </w:p>
        </w:tc>
        <w:tc>
          <w:tcPr>
            <w:tcW w:w="5970"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pStyle w:val="9"/>
              <w:rPr>
                <w:rFonts w:ascii="Times New Roman"/>
                <w:color w:val="auto"/>
                <w:sz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1A9F"/>
    <w:rsid w:val="003E3ABC"/>
    <w:rsid w:val="10282EDC"/>
    <w:rsid w:val="14584A01"/>
    <w:rsid w:val="21F430FF"/>
    <w:rsid w:val="3051125D"/>
    <w:rsid w:val="320603B3"/>
    <w:rsid w:val="59346E3D"/>
    <w:rsid w:val="63311316"/>
    <w:rsid w:val="7C37095D"/>
    <w:rsid w:val="7DFB1A9F"/>
    <w:rsid w:val="7F3B0AC6"/>
    <w:rsid w:val="7F46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before="1"/>
      <w:jc w:val="left"/>
    </w:pPr>
    <w:rPr>
      <w:rFonts w:ascii="宋体" w:hAnsi="宋体" w:cs="宋体"/>
      <w:b/>
      <w:bCs/>
      <w:kern w:val="0"/>
      <w:sz w:val="36"/>
      <w:szCs w:val="36"/>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rPr>
  </w:style>
  <w:style w:type="character" w:styleId="8">
    <w:name w:val="Hyperlink"/>
    <w:qFormat/>
    <w:uiPriority w:val="0"/>
    <w:rPr>
      <w:rFonts w:cs="Times New Roman"/>
      <w:color w:val="0000FF"/>
      <w:u w:val="single"/>
    </w:rPr>
  </w:style>
  <w:style w:type="paragraph" w:customStyle="1" w:styleId="9">
    <w:name w:val="Table Paragraph"/>
    <w:basedOn w:val="1"/>
    <w:qFormat/>
    <w:uiPriority w:val="0"/>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2021-03-04T02:23:00Z</dcterms:created>
  <dc:creator>锦瑟</dc:creator>
  <cp:lastModifiedBy>Administrator</cp:lastModifiedBy>
  <dcterms:modified xsi:type="dcterms:W3CDTF">2021-04-19T02:08:46Z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D7E8C3B10B0E4465B66013CB256CC2D5</vt:lpwstr>
  </property>
</Properties>
</file>